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河南应用技术职业学院</w:t>
      </w:r>
    </w:p>
    <w:p>
      <w:pPr>
        <w:jc w:val="center"/>
        <w:rPr>
          <w:sz w:val="44"/>
          <w:szCs w:val="44"/>
        </w:rPr>
      </w:pPr>
      <w:r>
        <w:rPr>
          <w:rFonts w:hint="eastAsia"/>
          <w:sz w:val="44"/>
          <w:szCs w:val="44"/>
        </w:rPr>
        <w:t>化学工程学院化工仿真软件升级改造项目招标参数</w:t>
      </w:r>
    </w:p>
    <w:tbl>
      <w:tblPr>
        <w:tblStyle w:val="4"/>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701"/>
        <w:gridCol w:w="7513"/>
        <w:gridCol w:w="851"/>
        <w:gridCol w:w="850"/>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b/>
                <w:sz w:val="28"/>
                <w:szCs w:val="28"/>
              </w:rPr>
            </w:pPr>
            <w:r>
              <w:rPr>
                <w:rFonts w:hint="eastAsia"/>
                <w:b/>
                <w:sz w:val="28"/>
                <w:szCs w:val="28"/>
              </w:rPr>
              <w:t>序号</w:t>
            </w:r>
          </w:p>
        </w:tc>
        <w:tc>
          <w:tcPr>
            <w:tcW w:w="1134" w:type="dxa"/>
            <w:vAlign w:val="center"/>
          </w:tcPr>
          <w:p>
            <w:pPr>
              <w:jc w:val="center"/>
              <w:rPr>
                <w:b/>
                <w:sz w:val="28"/>
                <w:szCs w:val="28"/>
              </w:rPr>
            </w:pPr>
            <w:r>
              <w:rPr>
                <w:rFonts w:hint="eastAsia"/>
                <w:b/>
                <w:sz w:val="28"/>
                <w:szCs w:val="28"/>
              </w:rPr>
              <w:t>实训室名称</w:t>
            </w:r>
          </w:p>
        </w:tc>
        <w:tc>
          <w:tcPr>
            <w:tcW w:w="1701" w:type="dxa"/>
            <w:vAlign w:val="center"/>
          </w:tcPr>
          <w:p>
            <w:pPr>
              <w:jc w:val="center"/>
              <w:rPr>
                <w:b/>
                <w:sz w:val="28"/>
                <w:szCs w:val="28"/>
              </w:rPr>
            </w:pPr>
            <w:r>
              <w:rPr>
                <w:rFonts w:hint="eastAsia"/>
                <w:b/>
                <w:sz w:val="28"/>
                <w:szCs w:val="28"/>
              </w:rPr>
              <w:t>设备名称</w:t>
            </w:r>
          </w:p>
        </w:tc>
        <w:tc>
          <w:tcPr>
            <w:tcW w:w="7513" w:type="dxa"/>
            <w:vAlign w:val="center"/>
          </w:tcPr>
          <w:p>
            <w:pPr>
              <w:jc w:val="center"/>
              <w:rPr>
                <w:b/>
                <w:sz w:val="28"/>
                <w:szCs w:val="28"/>
              </w:rPr>
            </w:pPr>
            <w:r>
              <w:rPr>
                <w:rFonts w:hint="eastAsia"/>
                <w:b/>
                <w:sz w:val="28"/>
                <w:szCs w:val="28"/>
              </w:rPr>
              <w:t>功能与参数</w:t>
            </w:r>
          </w:p>
        </w:tc>
        <w:tc>
          <w:tcPr>
            <w:tcW w:w="851" w:type="dxa"/>
            <w:vAlign w:val="center"/>
          </w:tcPr>
          <w:p>
            <w:pPr>
              <w:jc w:val="center"/>
              <w:rPr>
                <w:b/>
                <w:sz w:val="28"/>
                <w:szCs w:val="28"/>
              </w:rPr>
            </w:pPr>
            <w:r>
              <w:rPr>
                <w:rFonts w:hint="eastAsia"/>
                <w:b/>
                <w:sz w:val="28"/>
                <w:szCs w:val="28"/>
              </w:rPr>
              <w:t>台套数</w:t>
            </w:r>
          </w:p>
        </w:tc>
        <w:tc>
          <w:tcPr>
            <w:tcW w:w="850" w:type="dxa"/>
            <w:vAlign w:val="center"/>
          </w:tcPr>
          <w:p>
            <w:pPr>
              <w:jc w:val="center"/>
              <w:rPr>
                <w:b/>
                <w:sz w:val="28"/>
                <w:szCs w:val="28"/>
              </w:rPr>
            </w:pPr>
            <w:r>
              <w:rPr>
                <w:rFonts w:hint="eastAsia"/>
                <w:b/>
                <w:sz w:val="28"/>
                <w:szCs w:val="28"/>
              </w:rPr>
              <w:t>单价</w:t>
            </w:r>
          </w:p>
        </w:tc>
        <w:tc>
          <w:tcPr>
            <w:tcW w:w="851" w:type="dxa"/>
            <w:vAlign w:val="center"/>
          </w:tcPr>
          <w:p>
            <w:pPr>
              <w:jc w:val="center"/>
              <w:rPr>
                <w:b/>
                <w:sz w:val="28"/>
                <w:szCs w:val="28"/>
              </w:rPr>
            </w:pPr>
            <w:r>
              <w:rPr>
                <w:rFonts w:hint="eastAsia"/>
                <w:b/>
                <w:sz w:val="28"/>
                <w:szCs w:val="28"/>
              </w:rPr>
              <w:t>总价</w:t>
            </w:r>
          </w:p>
        </w:tc>
        <w:tc>
          <w:tcPr>
            <w:tcW w:w="1134"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Merge w:val="restart"/>
            <w:vAlign w:val="center"/>
          </w:tcPr>
          <w:p>
            <w:pPr>
              <w:jc w:val="center"/>
              <w:rPr>
                <w:rFonts w:asciiTheme="minorEastAsia" w:hAnsiTheme="minorEastAsia"/>
                <w:szCs w:val="21"/>
              </w:rPr>
            </w:pPr>
            <w:r>
              <w:rPr>
                <w:rFonts w:hint="eastAsia" w:asciiTheme="minorEastAsia" w:hAnsiTheme="minorEastAsia"/>
                <w:szCs w:val="21"/>
              </w:rPr>
              <w:t>化工仿真实训室</w:t>
            </w:r>
          </w:p>
        </w:tc>
        <w:tc>
          <w:tcPr>
            <w:tcW w:w="1701" w:type="dxa"/>
            <w:vMerge w:val="restart"/>
            <w:vAlign w:val="center"/>
          </w:tcPr>
          <w:p>
            <w:pPr>
              <w:jc w:val="center"/>
              <w:rPr>
                <w:rFonts w:asciiTheme="minorEastAsia" w:hAnsiTheme="minorEastAsia"/>
                <w:szCs w:val="21"/>
              </w:rPr>
            </w:pPr>
            <w:r>
              <w:rPr>
                <w:rFonts w:hint="eastAsia" w:asciiTheme="minorEastAsia" w:hAnsiTheme="minorEastAsia"/>
                <w:szCs w:val="21"/>
              </w:rPr>
              <w:t>化工单元CSTS虚拟现实3D仿真软件V1.0</w:t>
            </w:r>
          </w:p>
        </w:tc>
        <w:tc>
          <w:tcPr>
            <w:tcW w:w="7513" w:type="dxa"/>
          </w:tcPr>
          <w:p>
            <w:pPr>
              <w:rPr>
                <w:rFonts w:cs="宋体" w:asciiTheme="minorEastAsia" w:hAnsiTheme="minorEastAsia"/>
                <w:szCs w:val="21"/>
              </w:rPr>
            </w:pPr>
            <w:r>
              <w:rPr>
                <w:rFonts w:hint="eastAsia" w:cs="宋体" w:asciiTheme="minorEastAsia" w:hAnsiTheme="minorEastAsia"/>
                <w:szCs w:val="21"/>
              </w:rPr>
              <w:t>一、</w:t>
            </w:r>
            <w:r>
              <w:rPr>
                <w:rFonts w:hint="eastAsia" w:asciiTheme="minorEastAsia" w:hAnsiTheme="minorEastAsia" w:cstheme="minorEastAsia"/>
                <w:b/>
                <w:szCs w:val="21"/>
              </w:rPr>
              <w:t>软件内容</w:t>
            </w:r>
          </w:p>
          <w:tbl>
            <w:tblPr>
              <w:tblStyle w:val="4"/>
              <w:tblW w:w="7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861"/>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2861" w:type="dxa"/>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软件名称</w:t>
                  </w:r>
                </w:p>
              </w:tc>
              <w:tc>
                <w:tcPr>
                  <w:tcW w:w="3653" w:type="dxa"/>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pStyle w:val="5"/>
                    <w:numPr>
                      <w:ilvl w:val="0"/>
                      <w:numId w:val="1"/>
                    </w:numPr>
                    <w:spacing w:line="360" w:lineRule="auto"/>
                    <w:ind w:firstLineChars="0"/>
                    <w:rPr>
                      <w:rFonts w:asciiTheme="minorEastAsia" w:hAnsiTheme="minorEastAsia" w:cstheme="minorEastAsia"/>
                      <w:szCs w:val="21"/>
                    </w:rPr>
                  </w:pPr>
                </w:p>
              </w:tc>
              <w:tc>
                <w:tcPr>
                  <w:tcW w:w="286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CO2压缩机工艺3D仿真软件</w:t>
                  </w:r>
                </w:p>
              </w:tc>
              <w:tc>
                <w:tcPr>
                  <w:tcW w:w="3653" w:type="dxa"/>
                </w:tcPr>
                <w:p>
                  <w:pPr>
                    <w:spacing w:line="360" w:lineRule="auto"/>
                    <w:rPr>
                      <w:rFonts w:asciiTheme="minorEastAsia" w:hAnsiTheme="minorEastAsia" w:cstheme="minorEastAsia"/>
                      <w:szCs w:val="21"/>
                    </w:rPr>
                  </w:pPr>
                  <w:r>
                    <w:rPr>
                      <w:rFonts w:hint="eastAsia" w:asciiTheme="minorEastAsia" w:hAnsiTheme="minorEastAsia"/>
                      <w:szCs w:val="21"/>
                    </w:rPr>
                    <w:t>冷态开车工况，正常操作工况，正常停工工况，事故处理（10个）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pStyle w:val="5"/>
                    <w:numPr>
                      <w:ilvl w:val="0"/>
                      <w:numId w:val="1"/>
                    </w:numPr>
                    <w:spacing w:line="360" w:lineRule="auto"/>
                    <w:ind w:firstLineChars="0"/>
                    <w:rPr>
                      <w:rFonts w:asciiTheme="minorEastAsia" w:hAnsiTheme="minorEastAsia" w:cstheme="minorEastAsia"/>
                      <w:szCs w:val="21"/>
                    </w:rPr>
                  </w:pPr>
                </w:p>
              </w:tc>
              <w:tc>
                <w:tcPr>
                  <w:tcW w:w="286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固定床反应器工艺3D仿真软件</w:t>
                  </w:r>
                </w:p>
              </w:tc>
              <w:tc>
                <w:tcPr>
                  <w:tcW w:w="3653" w:type="dxa"/>
                </w:tcPr>
                <w:p>
                  <w:pPr>
                    <w:spacing w:line="360" w:lineRule="auto"/>
                    <w:rPr>
                      <w:rFonts w:asciiTheme="minorEastAsia" w:hAnsiTheme="minorEastAsia" w:cstheme="minorEastAsia"/>
                      <w:szCs w:val="21"/>
                    </w:rPr>
                  </w:pPr>
                  <w:r>
                    <w:rPr>
                      <w:rFonts w:hint="eastAsia" w:asciiTheme="minorEastAsia" w:hAnsiTheme="minorEastAsia"/>
                      <w:szCs w:val="21"/>
                    </w:rPr>
                    <w:t>冷态开车，正常停车，正常运行，事故处理（7个）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pStyle w:val="5"/>
                    <w:numPr>
                      <w:ilvl w:val="0"/>
                      <w:numId w:val="1"/>
                    </w:numPr>
                    <w:spacing w:line="360" w:lineRule="auto"/>
                    <w:ind w:firstLineChars="0"/>
                    <w:rPr>
                      <w:rFonts w:asciiTheme="minorEastAsia" w:hAnsiTheme="minorEastAsia" w:cstheme="minorEastAsia"/>
                      <w:szCs w:val="21"/>
                    </w:rPr>
                  </w:pPr>
                </w:p>
              </w:tc>
              <w:tc>
                <w:tcPr>
                  <w:tcW w:w="286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管式加热炉单元3D虚拟现实仿真软件</w:t>
                  </w:r>
                </w:p>
              </w:tc>
              <w:tc>
                <w:tcPr>
                  <w:tcW w:w="3653" w:type="dxa"/>
                </w:tcPr>
                <w:p>
                  <w:pPr>
                    <w:spacing w:line="360" w:lineRule="auto"/>
                    <w:rPr>
                      <w:rFonts w:asciiTheme="minorEastAsia" w:hAnsiTheme="minorEastAsia" w:cstheme="minorEastAsia"/>
                      <w:szCs w:val="21"/>
                    </w:rPr>
                  </w:pPr>
                  <w:r>
                    <w:rPr>
                      <w:rFonts w:hint="eastAsia" w:asciiTheme="minorEastAsia" w:hAnsiTheme="minorEastAsia"/>
                      <w:szCs w:val="21"/>
                    </w:rPr>
                    <w:t>冷态开车，正常停车，正常操作，事故处理（8个）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pStyle w:val="5"/>
                    <w:numPr>
                      <w:ilvl w:val="0"/>
                      <w:numId w:val="1"/>
                    </w:numPr>
                    <w:spacing w:line="360" w:lineRule="auto"/>
                    <w:ind w:firstLineChars="0"/>
                    <w:rPr>
                      <w:rFonts w:asciiTheme="minorEastAsia" w:hAnsiTheme="minorEastAsia" w:cstheme="minorEastAsia"/>
                      <w:szCs w:val="21"/>
                    </w:rPr>
                  </w:pPr>
                </w:p>
              </w:tc>
              <w:tc>
                <w:tcPr>
                  <w:tcW w:w="286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间歇釜反应单元3D虚拟现实仿真软件</w:t>
                  </w:r>
                </w:p>
              </w:tc>
              <w:tc>
                <w:tcPr>
                  <w:tcW w:w="3653" w:type="dxa"/>
                </w:tcPr>
                <w:p>
                  <w:pPr>
                    <w:spacing w:line="360" w:lineRule="auto"/>
                    <w:rPr>
                      <w:rFonts w:asciiTheme="minorEastAsia" w:hAnsiTheme="minorEastAsia" w:cstheme="minorEastAsia"/>
                      <w:szCs w:val="21"/>
                    </w:rPr>
                  </w:pPr>
                  <w:r>
                    <w:rPr>
                      <w:rFonts w:hint="eastAsia" w:asciiTheme="minorEastAsia" w:hAnsiTheme="minorEastAsia"/>
                      <w:szCs w:val="21"/>
                    </w:rPr>
                    <w:t>冷态开车，热态开车，正常停车，事故处理（5个）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pStyle w:val="5"/>
                    <w:numPr>
                      <w:ilvl w:val="0"/>
                      <w:numId w:val="1"/>
                    </w:numPr>
                    <w:spacing w:line="360" w:lineRule="auto"/>
                    <w:ind w:firstLineChars="0"/>
                    <w:rPr>
                      <w:rFonts w:asciiTheme="minorEastAsia" w:hAnsiTheme="minorEastAsia" w:cstheme="minorEastAsia"/>
                      <w:szCs w:val="21"/>
                    </w:rPr>
                  </w:pPr>
                </w:p>
              </w:tc>
              <w:tc>
                <w:tcPr>
                  <w:tcW w:w="286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精馏塔单元3D虚拟现实仿真软件</w:t>
                  </w:r>
                </w:p>
              </w:tc>
              <w:tc>
                <w:tcPr>
                  <w:tcW w:w="3653" w:type="dxa"/>
                </w:tcPr>
                <w:p>
                  <w:pPr>
                    <w:spacing w:line="360" w:lineRule="auto"/>
                    <w:rPr>
                      <w:rFonts w:asciiTheme="minorEastAsia" w:hAnsiTheme="minorEastAsia" w:cstheme="minorEastAsia"/>
                      <w:szCs w:val="21"/>
                    </w:rPr>
                  </w:pPr>
                  <w:r>
                    <w:rPr>
                      <w:rFonts w:hint="eastAsia" w:asciiTheme="minorEastAsia" w:hAnsiTheme="minorEastAsia"/>
                      <w:szCs w:val="21"/>
                    </w:rPr>
                    <w:t>冷态开车，正常停车，正常运行，事故处理（16个）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pStyle w:val="5"/>
                    <w:numPr>
                      <w:ilvl w:val="0"/>
                      <w:numId w:val="1"/>
                    </w:numPr>
                    <w:spacing w:line="360" w:lineRule="auto"/>
                    <w:ind w:firstLineChars="0"/>
                    <w:rPr>
                      <w:rFonts w:asciiTheme="minorEastAsia" w:hAnsiTheme="minorEastAsia" w:cstheme="minorEastAsia"/>
                      <w:szCs w:val="21"/>
                    </w:rPr>
                  </w:pPr>
                </w:p>
              </w:tc>
              <w:tc>
                <w:tcPr>
                  <w:tcW w:w="286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吸收-解吸工艺3D仿真软件 </w:t>
                  </w:r>
                </w:p>
              </w:tc>
              <w:tc>
                <w:tcPr>
                  <w:tcW w:w="3653" w:type="dxa"/>
                </w:tcPr>
                <w:p>
                  <w:pPr>
                    <w:spacing w:line="360" w:lineRule="auto"/>
                    <w:rPr>
                      <w:rFonts w:asciiTheme="minorEastAsia" w:hAnsiTheme="minorEastAsia" w:cstheme="minorEastAsia"/>
                      <w:szCs w:val="21"/>
                    </w:rPr>
                  </w:pPr>
                  <w:r>
                    <w:rPr>
                      <w:rFonts w:hint="eastAsia" w:asciiTheme="minorEastAsia" w:hAnsiTheme="minorEastAsia"/>
                      <w:szCs w:val="21"/>
                    </w:rPr>
                    <w:t>冷态开车，正常停车，正常操作，事故处理（13个）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pStyle w:val="5"/>
                    <w:numPr>
                      <w:ilvl w:val="0"/>
                      <w:numId w:val="1"/>
                    </w:numPr>
                    <w:spacing w:line="360" w:lineRule="auto"/>
                    <w:ind w:firstLineChars="0"/>
                    <w:rPr>
                      <w:rFonts w:asciiTheme="minorEastAsia" w:hAnsiTheme="minorEastAsia" w:cstheme="minorEastAsia"/>
                      <w:szCs w:val="21"/>
                    </w:rPr>
                  </w:pPr>
                </w:p>
              </w:tc>
              <w:tc>
                <w:tcPr>
                  <w:tcW w:w="286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化工单元设备素材库</w:t>
                  </w:r>
                </w:p>
              </w:tc>
              <w:tc>
                <w:tcPr>
                  <w:tcW w:w="3653"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不少于200个知识点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pStyle w:val="5"/>
                    <w:numPr>
                      <w:ilvl w:val="0"/>
                      <w:numId w:val="1"/>
                    </w:numPr>
                    <w:spacing w:line="360" w:lineRule="auto"/>
                    <w:ind w:firstLineChars="0"/>
                    <w:rPr>
                      <w:rFonts w:asciiTheme="minorEastAsia" w:hAnsiTheme="minorEastAsia" w:cstheme="minorEastAsia"/>
                      <w:szCs w:val="21"/>
                    </w:rPr>
                  </w:pPr>
                </w:p>
              </w:tc>
              <w:tc>
                <w:tcPr>
                  <w:tcW w:w="286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化工单元网络题库</w:t>
                  </w:r>
                </w:p>
              </w:tc>
              <w:tc>
                <w:tcPr>
                  <w:tcW w:w="3653"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不少于300道题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3" w:type="dxa"/>
                </w:tcPr>
                <w:p>
                  <w:pPr>
                    <w:pStyle w:val="5"/>
                    <w:numPr>
                      <w:ilvl w:val="0"/>
                      <w:numId w:val="1"/>
                    </w:numPr>
                    <w:spacing w:line="360" w:lineRule="auto"/>
                    <w:ind w:firstLineChars="0"/>
                    <w:rPr>
                      <w:rFonts w:asciiTheme="minorEastAsia" w:hAnsiTheme="minorEastAsia" w:cstheme="minorEastAsia"/>
                      <w:szCs w:val="21"/>
                    </w:rPr>
                  </w:pPr>
                </w:p>
              </w:tc>
              <w:tc>
                <w:tcPr>
                  <w:tcW w:w="2861" w:type="dxa"/>
                </w:tcPr>
                <w:p>
                  <w:pPr>
                    <w:spacing w:line="360" w:lineRule="auto"/>
                    <w:rPr>
                      <w:rFonts w:asciiTheme="minorEastAsia" w:hAnsiTheme="minorEastAsia" w:cstheme="minorEastAsia"/>
                      <w:szCs w:val="21"/>
                    </w:rPr>
                  </w:pPr>
                  <w:r>
                    <w:rPr>
                      <w:rFonts w:hint="eastAsia" w:asciiTheme="minorEastAsia" w:hAnsiTheme="minorEastAsia" w:cstheme="minorEastAsia"/>
                      <w:szCs w:val="21"/>
                    </w:rPr>
                    <w:t>化工单元网络配套教学资源</w:t>
                  </w:r>
                </w:p>
              </w:tc>
              <w:tc>
                <w:tcPr>
                  <w:tcW w:w="3653" w:type="dxa"/>
                </w:tcPr>
                <w:p>
                  <w:pPr>
                    <w:spacing w:line="360" w:lineRule="auto"/>
                    <w:rPr>
                      <w:rFonts w:asciiTheme="minorEastAsia" w:hAnsiTheme="minorEastAsia" w:cstheme="minorEastAsia"/>
                      <w:szCs w:val="21"/>
                    </w:rPr>
                  </w:pPr>
                </w:p>
              </w:tc>
            </w:tr>
          </w:tbl>
          <w:p>
            <w:pPr>
              <w:rPr>
                <w:rFonts w:asciiTheme="minorEastAsia" w:hAnsiTheme="minorEastAsia"/>
                <w:szCs w:val="21"/>
              </w:rPr>
            </w:pPr>
          </w:p>
        </w:tc>
        <w:tc>
          <w:tcPr>
            <w:tcW w:w="851" w:type="dxa"/>
            <w:vMerge w:val="restart"/>
            <w:vAlign w:val="center"/>
          </w:tcPr>
          <w:p>
            <w:pPr>
              <w:jc w:val="center"/>
              <w:rPr>
                <w:sz w:val="28"/>
                <w:szCs w:val="28"/>
              </w:rPr>
            </w:pPr>
            <w:r>
              <w:rPr>
                <w:rFonts w:hint="eastAsia"/>
                <w:sz w:val="28"/>
                <w:szCs w:val="28"/>
              </w:rPr>
              <w:t>1</w:t>
            </w:r>
          </w:p>
        </w:tc>
        <w:tc>
          <w:tcPr>
            <w:tcW w:w="850" w:type="dxa"/>
            <w:vMerge w:val="restart"/>
            <w:vAlign w:val="center"/>
          </w:tcPr>
          <w:p>
            <w:pPr>
              <w:jc w:val="center"/>
              <w:rPr>
                <w:sz w:val="28"/>
                <w:szCs w:val="28"/>
              </w:rPr>
            </w:pPr>
            <w:r>
              <w:rPr>
                <w:rFonts w:hint="eastAsia"/>
                <w:sz w:val="28"/>
                <w:szCs w:val="28"/>
              </w:rPr>
              <w:t>15</w:t>
            </w:r>
          </w:p>
        </w:tc>
        <w:tc>
          <w:tcPr>
            <w:tcW w:w="851" w:type="dxa"/>
            <w:vMerge w:val="restart"/>
            <w:vAlign w:val="center"/>
          </w:tcPr>
          <w:p>
            <w:pPr>
              <w:jc w:val="center"/>
              <w:rPr>
                <w:sz w:val="28"/>
                <w:szCs w:val="28"/>
              </w:rPr>
            </w:pPr>
            <w:r>
              <w:rPr>
                <w:rFonts w:hint="eastAsia"/>
                <w:sz w:val="28"/>
                <w:szCs w:val="28"/>
              </w:rPr>
              <w:t>15</w:t>
            </w:r>
          </w:p>
        </w:tc>
        <w:tc>
          <w:tcPr>
            <w:tcW w:w="1134" w:type="dxa"/>
            <w:vMerge w:val="restart"/>
            <w:vAlign w:val="center"/>
          </w:tcPr>
          <w:p>
            <w:pPr>
              <w:jc w:val="center"/>
              <w:rPr>
                <w:sz w:val="28"/>
                <w:szCs w:val="28"/>
              </w:rPr>
            </w:pPr>
            <w:r>
              <w:rPr>
                <w:rFonts w:hint="eastAsia" w:ascii="宋体" w:hAnsi="宋体"/>
                <w:szCs w:val="21"/>
              </w:rPr>
              <w:t>原化工单元CSTS仿真软件升级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inorEastAsia" w:hAnsiTheme="minorEastAsia"/>
                <w:szCs w:val="21"/>
              </w:rPr>
            </w:pPr>
          </w:p>
        </w:tc>
        <w:tc>
          <w:tcPr>
            <w:tcW w:w="1134" w:type="dxa"/>
            <w:vMerge w:val="continue"/>
          </w:tcPr>
          <w:p>
            <w:pPr>
              <w:rPr>
                <w:rFonts w:asciiTheme="minorEastAsia" w:hAnsiTheme="minorEastAsia"/>
                <w:szCs w:val="21"/>
              </w:rPr>
            </w:pPr>
          </w:p>
        </w:tc>
        <w:tc>
          <w:tcPr>
            <w:tcW w:w="1701" w:type="dxa"/>
            <w:vMerge w:val="continue"/>
          </w:tcPr>
          <w:p>
            <w:pPr>
              <w:rPr>
                <w:rFonts w:asciiTheme="minorEastAsia" w:hAnsiTheme="minorEastAsia"/>
                <w:szCs w:val="21"/>
              </w:rPr>
            </w:pPr>
          </w:p>
        </w:tc>
        <w:tc>
          <w:tcPr>
            <w:tcW w:w="7513" w:type="dxa"/>
          </w:tcPr>
          <w:p>
            <w:pPr>
              <w:pStyle w:val="6"/>
              <w:spacing w:line="360" w:lineRule="auto"/>
              <w:ind w:firstLine="0" w:firstLineChars="0"/>
              <w:rPr>
                <w:rFonts w:asciiTheme="minorEastAsia" w:hAnsiTheme="minorEastAsia" w:cstheme="minorEastAsia"/>
                <w:b/>
                <w:szCs w:val="21"/>
              </w:rPr>
            </w:pPr>
            <w:r>
              <w:rPr>
                <w:rFonts w:hint="eastAsia" w:asciiTheme="minorEastAsia" w:hAnsiTheme="minorEastAsia" w:cstheme="minorEastAsia"/>
                <w:b/>
                <w:szCs w:val="21"/>
              </w:rPr>
              <w:t>二、三维仿真软件系统功能要求</w:t>
            </w:r>
          </w:p>
          <w:p>
            <w:pPr>
              <w:widowControl/>
              <w:tabs>
                <w:tab w:val="left" w:pos="1080"/>
              </w:tabs>
              <w:adjustRightInd w:val="0"/>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软件依据计算机虚拟仿真技术进行开发，真实再现化工厂环境和操作过程，并对操作数据进行分析，得到仿真结果；该软件以真实数据库作为支撑，仿真操作过程与真实设备操作过程极其相似，仿真结果与真实系统结果非常接近，能够满足日常培训、常规考核以及技能大赛等各种需求。</w:t>
            </w:r>
          </w:p>
          <w:p>
            <w:pPr>
              <w:widowControl/>
              <w:tabs>
                <w:tab w:val="left" w:pos="1080"/>
              </w:tabs>
              <w:adjustRightInd w:val="0"/>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1. 现场操作模块：主要用于实验操作中对现场设备的操作仿真，其包括了各实验的主要设备、风机、水泵、流量计、必备的开关阀和调节阀。学员可以在仿真的工厂环境中漫游，认识各设备组件，在环境中可以实现360°旋转。</w:t>
            </w:r>
          </w:p>
          <w:p>
            <w:pPr>
              <w:widowControl/>
              <w:tabs>
                <w:tab w:val="left" w:pos="1080"/>
              </w:tabs>
              <w:adjustRightInd w:val="0"/>
              <w:snapToGrid w:val="0"/>
              <w:spacing w:line="360" w:lineRule="auto"/>
              <w:ind w:firstLine="420" w:firstLineChars="200"/>
              <w:jc w:val="left"/>
              <w:rPr>
                <w:rFonts w:asciiTheme="minorEastAsia" w:hAnsiTheme="minorEastAsia" w:cstheme="minorEastAsia"/>
                <w:szCs w:val="21"/>
              </w:rPr>
            </w:pPr>
            <w:bookmarkStart w:id="0" w:name="OLE_LINK12"/>
            <w:r>
              <w:rPr>
                <w:rFonts w:hint="eastAsia" w:asciiTheme="minorEastAsia" w:hAnsiTheme="minorEastAsia" w:cstheme="minorEastAsia"/>
                <w:szCs w:val="21"/>
              </w:rPr>
              <w:t>需要有一段巡线的厂区漫游，介绍各设备以及在其中进行的反应和原理。</w:t>
            </w:r>
          </w:p>
          <w:bookmarkEnd w:id="0"/>
          <w:p>
            <w:pPr>
              <w:widowControl/>
              <w:adjustRightInd w:val="0"/>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 调节阀门模块：主要用于现场和DCS操作中，对现场阀和控制阀的操作，根据阀门开度大小，仪表显示不同，要求每个单元至少有20个阀门可以进行调节。</w:t>
            </w:r>
          </w:p>
          <w:p>
            <w:pPr>
              <w:widowControl/>
              <w:adjustRightInd w:val="0"/>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 .查找阀门模块：显示需要查找阀门方向与距离阀门距离，用多少米显示。</w:t>
            </w:r>
          </w:p>
          <w:p>
            <w:pPr>
              <w:widowControl/>
              <w:adjustRightInd w:val="0"/>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 知识点模块：每个单元有不少于5个动画或视频的知识点。</w:t>
            </w:r>
          </w:p>
          <w:p>
            <w:pPr>
              <w:widowControl/>
              <w:adjustRightInd w:val="0"/>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5. 报警模块：每个单元有不少于3个报警点，发生警报时有警报声，并且在发生事故点有汉字提示报警原因。</w:t>
            </w:r>
          </w:p>
          <w:p>
            <w:pPr>
              <w:ind w:firstLine="420" w:firstLineChars="200"/>
              <w:rPr>
                <w:rFonts w:asciiTheme="minorEastAsia" w:hAnsiTheme="minorEastAsia"/>
                <w:szCs w:val="21"/>
              </w:rPr>
            </w:pPr>
            <w:r>
              <w:rPr>
                <w:rFonts w:hint="eastAsia" w:asciiTheme="minorEastAsia" w:hAnsiTheme="minorEastAsia" w:cstheme="minorEastAsia"/>
                <w:szCs w:val="21"/>
              </w:rPr>
              <w:t>6 .思考题模块：有不少于20道思考题用于考察学生的学习情况。该思考题教师可以自主进行编辑。</w:t>
            </w:r>
          </w:p>
        </w:tc>
        <w:tc>
          <w:tcPr>
            <w:tcW w:w="851" w:type="dxa"/>
            <w:vMerge w:val="continue"/>
          </w:tcPr>
          <w:p>
            <w:pPr>
              <w:rPr>
                <w:sz w:val="28"/>
                <w:szCs w:val="28"/>
              </w:rPr>
            </w:pPr>
          </w:p>
        </w:tc>
        <w:tc>
          <w:tcPr>
            <w:tcW w:w="850" w:type="dxa"/>
            <w:vMerge w:val="continue"/>
          </w:tcPr>
          <w:p>
            <w:pPr>
              <w:rPr>
                <w:sz w:val="28"/>
                <w:szCs w:val="28"/>
              </w:rPr>
            </w:pPr>
          </w:p>
        </w:tc>
        <w:tc>
          <w:tcPr>
            <w:tcW w:w="851" w:type="dxa"/>
            <w:vMerge w:val="continue"/>
          </w:tcPr>
          <w:p>
            <w:pPr>
              <w:rPr>
                <w:sz w:val="28"/>
                <w:szCs w:val="28"/>
              </w:rPr>
            </w:pPr>
          </w:p>
        </w:tc>
        <w:tc>
          <w:tcPr>
            <w:tcW w:w="1134"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inorEastAsia" w:hAnsiTheme="minorEastAsia"/>
                <w:szCs w:val="21"/>
              </w:rPr>
            </w:pPr>
          </w:p>
        </w:tc>
        <w:tc>
          <w:tcPr>
            <w:tcW w:w="1134" w:type="dxa"/>
            <w:vMerge w:val="continue"/>
          </w:tcPr>
          <w:p>
            <w:pPr>
              <w:rPr>
                <w:rFonts w:asciiTheme="minorEastAsia" w:hAnsiTheme="minorEastAsia"/>
                <w:szCs w:val="21"/>
              </w:rPr>
            </w:pPr>
          </w:p>
        </w:tc>
        <w:tc>
          <w:tcPr>
            <w:tcW w:w="1701" w:type="dxa"/>
            <w:vMerge w:val="continue"/>
          </w:tcPr>
          <w:p>
            <w:pPr>
              <w:rPr>
                <w:rFonts w:asciiTheme="minorEastAsia" w:hAnsiTheme="minorEastAsia"/>
                <w:szCs w:val="21"/>
              </w:rPr>
            </w:pPr>
          </w:p>
        </w:tc>
        <w:tc>
          <w:tcPr>
            <w:tcW w:w="7513" w:type="dxa"/>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三、学院站功能</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1.培训项目选择：根据需要选择不同的培训项目；</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2.重做当前任务：重新加载当前工况内容</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3.切换工艺内容：切换到其他工况</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4.冻结/解冻：在任何时间都可以冻结、解冻、重新运行仿真系统；</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5.进度存盘/重演：实现系统的存储、读取；</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6.变量监视：受训者可监控各种变量数据；</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7.画面显示：包括趋势画面、报警画面、爬山图、流程图、控制组画面等；</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8.仿真时钟设置：根据需要加快或者减慢数据运算的速率，实现在25%—2000% 范围内的无限制调节；</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9.评分自动提示：为方便查看评分步骤，将满足条件的单挑操作步骤显示在小窗口画面，避免在DCS画面与完整评分文件之间频繁切换。评分内容包括工艺指标考核；操作步骤考核；分区、每一个评分指标都可以设置严格起评、终止评定条件；工艺质量参数评定曲线。</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10.多模式功能：具备练习、考核、两种模式，模式的选择通过项目管理工具统一管理。在练习模式下具有实验介绍、实验原理、实验帮助、步骤提示、分数功能；在考试模式下具有学员信息（姓名、学号）、考核时间、剩余时间。</w:t>
            </w:r>
          </w:p>
          <w:p>
            <w:pPr>
              <w:widowControl/>
              <w:spacing w:line="360" w:lineRule="auto"/>
              <w:ind w:firstLine="420" w:firstLineChars="200"/>
              <w:jc w:val="left"/>
              <w:rPr>
                <w:rFonts w:asciiTheme="minorEastAsia" w:hAnsiTheme="minorEastAsia"/>
                <w:szCs w:val="21"/>
              </w:rPr>
            </w:pPr>
            <w:r>
              <w:rPr>
                <w:rFonts w:hint="eastAsia" w:cs="宋体" w:asciiTheme="minorEastAsia" w:hAnsiTheme="minorEastAsia"/>
                <w:bCs/>
                <w:szCs w:val="21"/>
              </w:rPr>
              <w:t>11.和教师站的连接：跟教师站管理端采用TCP/IP方式连接通讯；可设置培训模式，启动后可自由切换培训项目；对模型可进行冻结、解冻、运行、停止等操作；可查看模型变量的相关信息，进行曲线绘制；可保存、重演模型的运行状态；调整仿真时标。</w:t>
            </w:r>
          </w:p>
        </w:tc>
        <w:tc>
          <w:tcPr>
            <w:tcW w:w="851" w:type="dxa"/>
            <w:vMerge w:val="continue"/>
          </w:tcPr>
          <w:p>
            <w:pPr>
              <w:rPr>
                <w:sz w:val="28"/>
                <w:szCs w:val="28"/>
              </w:rPr>
            </w:pPr>
          </w:p>
        </w:tc>
        <w:tc>
          <w:tcPr>
            <w:tcW w:w="850" w:type="dxa"/>
            <w:vMerge w:val="continue"/>
          </w:tcPr>
          <w:p>
            <w:pPr>
              <w:rPr>
                <w:sz w:val="28"/>
                <w:szCs w:val="28"/>
              </w:rPr>
            </w:pPr>
          </w:p>
        </w:tc>
        <w:tc>
          <w:tcPr>
            <w:tcW w:w="851" w:type="dxa"/>
            <w:vMerge w:val="continue"/>
          </w:tcPr>
          <w:p>
            <w:pPr>
              <w:rPr>
                <w:sz w:val="28"/>
                <w:szCs w:val="28"/>
              </w:rPr>
            </w:pPr>
          </w:p>
        </w:tc>
        <w:tc>
          <w:tcPr>
            <w:tcW w:w="1134"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inorEastAsia" w:hAnsiTheme="minorEastAsia"/>
                <w:szCs w:val="21"/>
              </w:rPr>
            </w:pPr>
          </w:p>
        </w:tc>
        <w:tc>
          <w:tcPr>
            <w:tcW w:w="1134" w:type="dxa"/>
            <w:vMerge w:val="continue"/>
          </w:tcPr>
          <w:p>
            <w:pPr>
              <w:rPr>
                <w:rFonts w:asciiTheme="minorEastAsia" w:hAnsiTheme="minorEastAsia"/>
                <w:szCs w:val="21"/>
              </w:rPr>
            </w:pPr>
          </w:p>
        </w:tc>
        <w:tc>
          <w:tcPr>
            <w:tcW w:w="1701" w:type="dxa"/>
            <w:vMerge w:val="continue"/>
          </w:tcPr>
          <w:p>
            <w:pPr>
              <w:widowControl/>
              <w:spacing w:line="360" w:lineRule="auto"/>
              <w:jc w:val="left"/>
              <w:rPr>
                <w:rFonts w:cs="宋体" w:asciiTheme="minorEastAsia" w:hAnsiTheme="minorEastAsia"/>
                <w:bCs/>
                <w:szCs w:val="21"/>
              </w:rPr>
            </w:pPr>
          </w:p>
        </w:tc>
        <w:tc>
          <w:tcPr>
            <w:tcW w:w="7513" w:type="dxa"/>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四、配套资源</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1.化工单元设备素材库：素材库要求至少包含200个知识点，其中，至少100个知识点为动画、视频形式的。</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2.化工单元网络题库：不少于6个题库共计300道试题。要求能够用网络账号在互联网上使用。</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3.化工单元网络配套教学资源：要求在互联网上使用，并配套相关的教学资源。该资源要求是实验原理的讲解和实验设备的操作流程演示视频以及相关的PPT等。配套教学资源如下表：</w:t>
            </w:r>
          </w:p>
          <w:tbl>
            <w:tblPr>
              <w:tblStyle w:val="3"/>
              <w:tblW w:w="7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3102"/>
              <w:gridCol w:w="1150"/>
              <w:gridCol w:w="111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8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序号</w:t>
                  </w:r>
                </w:p>
              </w:tc>
              <w:tc>
                <w:tcPr>
                  <w:tcW w:w="3102"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单元名称</w:t>
                  </w:r>
                </w:p>
              </w:tc>
              <w:tc>
                <w:tcPr>
                  <w:tcW w:w="1150"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教师授课</w:t>
                  </w:r>
                </w:p>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PPT</w:t>
                  </w:r>
                </w:p>
              </w:tc>
              <w:tc>
                <w:tcPr>
                  <w:tcW w:w="111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名师授课</w:t>
                  </w:r>
                </w:p>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视频</w:t>
                  </w:r>
                </w:p>
              </w:tc>
              <w:tc>
                <w:tcPr>
                  <w:tcW w:w="1178"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仿真软件</w:t>
                  </w:r>
                </w:p>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操作视频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8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1</w:t>
                  </w:r>
                </w:p>
              </w:tc>
              <w:tc>
                <w:tcPr>
                  <w:tcW w:w="3102"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CO2压缩机工艺3D仿真软件</w:t>
                  </w:r>
                </w:p>
              </w:tc>
              <w:tc>
                <w:tcPr>
                  <w:tcW w:w="1150"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1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78"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8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2</w:t>
                  </w:r>
                </w:p>
              </w:tc>
              <w:tc>
                <w:tcPr>
                  <w:tcW w:w="3102"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固定床反应器工艺3D仿真软件</w:t>
                  </w:r>
                </w:p>
              </w:tc>
              <w:tc>
                <w:tcPr>
                  <w:tcW w:w="1150"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1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78"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8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3</w:t>
                  </w:r>
                </w:p>
              </w:tc>
              <w:tc>
                <w:tcPr>
                  <w:tcW w:w="3102"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管式加热炉单元3D虚拟现实仿真软件</w:t>
                  </w:r>
                </w:p>
              </w:tc>
              <w:tc>
                <w:tcPr>
                  <w:tcW w:w="1150"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1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78"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8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4</w:t>
                  </w:r>
                </w:p>
              </w:tc>
              <w:tc>
                <w:tcPr>
                  <w:tcW w:w="3102"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间歇釜反应单元3D虚拟现实仿真软件</w:t>
                  </w:r>
                </w:p>
              </w:tc>
              <w:tc>
                <w:tcPr>
                  <w:tcW w:w="1150"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1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78"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8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5</w:t>
                  </w:r>
                </w:p>
              </w:tc>
              <w:tc>
                <w:tcPr>
                  <w:tcW w:w="3102"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精馏塔单元3D虚拟现实仿真软件</w:t>
                  </w:r>
                </w:p>
              </w:tc>
              <w:tc>
                <w:tcPr>
                  <w:tcW w:w="1150"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1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78"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8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6</w:t>
                  </w:r>
                </w:p>
              </w:tc>
              <w:tc>
                <w:tcPr>
                  <w:tcW w:w="3102"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吸收-解吸工艺3D仿真软件</w:t>
                  </w:r>
                </w:p>
              </w:tc>
              <w:tc>
                <w:tcPr>
                  <w:tcW w:w="1150"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18" w:type="dxa"/>
                  <w:shd w:val="clear" w:color="auto" w:fill="auto"/>
                  <w:vAlign w:val="center"/>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c>
                <w:tcPr>
                  <w:tcW w:w="1178"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w:t>
                  </w:r>
                </w:p>
              </w:tc>
            </w:tr>
          </w:tbl>
          <w:p>
            <w:pPr>
              <w:widowControl/>
              <w:spacing w:line="360" w:lineRule="auto"/>
              <w:jc w:val="left"/>
              <w:rPr>
                <w:rFonts w:cs="宋体" w:asciiTheme="minorEastAsia" w:hAnsiTheme="minorEastAsia"/>
                <w:bCs/>
                <w:szCs w:val="21"/>
              </w:rPr>
            </w:pPr>
          </w:p>
        </w:tc>
        <w:tc>
          <w:tcPr>
            <w:tcW w:w="851" w:type="dxa"/>
            <w:vMerge w:val="continue"/>
          </w:tcPr>
          <w:p>
            <w:pPr>
              <w:rPr>
                <w:sz w:val="28"/>
                <w:szCs w:val="28"/>
              </w:rPr>
            </w:pPr>
          </w:p>
        </w:tc>
        <w:tc>
          <w:tcPr>
            <w:tcW w:w="850" w:type="dxa"/>
            <w:vMerge w:val="continue"/>
          </w:tcPr>
          <w:p>
            <w:pPr>
              <w:rPr>
                <w:sz w:val="28"/>
                <w:szCs w:val="28"/>
              </w:rPr>
            </w:pPr>
          </w:p>
        </w:tc>
        <w:tc>
          <w:tcPr>
            <w:tcW w:w="851" w:type="dxa"/>
            <w:vMerge w:val="continue"/>
          </w:tcPr>
          <w:p>
            <w:pPr>
              <w:rPr>
                <w:sz w:val="28"/>
                <w:szCs w:val="28"/>
              </w:rPr>
            </w:pPr>
          </w:p>
        </w:tc>
        <w:tc>
          <w:tcPr>
            <w:tcW w:w="1134"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inorEastAsia" w:hAnsiTheme="minorEastAsia"/>
                <w:szCs w:val="21"/>
              </w:rPr>
            </w:pPr>
          </w:p>
        </w:tc>
        <w:tc>
          <w:tcPr>
            <w:tcW w:w="1134" w:type="dxa"/>
            <w:vMerge w:val="continue"/>
          </w:tcPr>
          <w:p>
            <w:pPr>
              <w:rPr>
                <w:rFonts w:asciiTheme="minorEastAsia" w:hAnsiTheme="minorEastAsia"/>
                <w:szCs w:val="21"/>
              </w:rPr>
            </w:pPr>
          </w:p>
        </w:tc>
        <w:tc>
          <w:tcPr>
            <w:tcW w:w="1701" w:type="dxa"/>
            <w:vMerge w:val="continue"/>
          </w:tcPr>
          <w:p>
            <w:pPr>
              <w:widowControl/>
              <w:spacing w:line="360" w:lineRule="auto"/>
              <w:jc w:val="left"/>
              <w:rPr>
                <w:rFonts w:cs="宋体" w:asciiTheme="minorEastAsia" w:hAnsiTheme="minorEastAsia"/>
                <w:bCs/>
                <w:szCs w:val="21"/>
              </w:rPr>
            </w:pPr>
          </w:p>
        </w:tc>
        <w:tc>
          <w:tcPr>
            <w:tcW w:w="7513" w:type="dxa"/>
          </w:tcPr>
          <w:p>
            <w:pPr>
              <w:widowControl/>
              <w:spacing w:line="360" w:lineRule="auto"/>
              <w:jc w:val="left"/>
              <w:rPr>
                <w:rFonts w:cs="宋体" w:asciiTheme="minorEastAsia" w:hAnsiTheme="minorEastAsia"/>
                <w:b/>
                <w:bCs/>
                <w:szCs w:val="21"/>
              </w:rPr>
            </w:pPr>
            <w:r>
              <w:rPr>
                <w:rFonts w:hint="eastAsia" w:cs="宋体" w:asciiTheme="minorEastAsia" w:hAnsiTheme="minorEastAsia"/>
                <w:b/>
                <w:bCs/>
                <w:szCs w:val="21"/>
              </w:rPr>
              <w:t>五、DCS表现形式</w:t>
            </w:r>
          </w:p>
          <w:p>
            <w:pPr>
              <w:widowControl/>
              <w:spacing w:line="360" w:lineRule="auto"/>
              <w:ind w:firstLine="420" w:firstLineChars="200"/>
              <w:jc w:val="left"/>
              <w:rPr>
                <w:rFonts w:cs="宋体" w:asciiTheme="minorEastAsia" w:hAnsiTheme="minorEastAsia"/>
                <w:bCs/>
                <w:szCs w:val="21"/>
              </w:rPr>
            </w:pPr>
            <w:r>
              <w:rPr>
                <w:rFonts w:hint="eastAsia" w:cs="宋体" w:asciiTheme="minorEastAsia" w:hAnsiTheme="minorEastAsia"/>
                <w:bCs/>
                <w:szCs w:val="21"/>
              </w:rPr>
              <w:t>可模拟以下主流自控厂商的DCS风格：</w:t>
            </w:r>
          </w:p>
          <w:tbl>
            <w:tblPr>
              <w:tblStyle w:val="3"/>
              <w:tblW w:w="5836" w:type="dxa"/>
              <w:jc w:val="center"/>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103"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序号</w:t>
                  </w:r>
                </w:p>
              </w:tc>
              <w:tc>
                <w:tcPr>
                  <w:tcW w:w="4733"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DCS风格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103"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1</w:t>
                  </w:r>
                </w:p>
              </w:tc>
              <w:tc>
                <w:tcPr>
                  <w:tcW w:w="4733" w:type="dxa"/>
                  <w:shd w:val="clear" w:color="auto" w:fill="auto"/>
                </w:tcPr>
                <w:p>
                  <w:pPr>
                    <w:widowControl/>
                    <w:spacing w:line="360" w:lineRule="auto"/>
                    <w:jc w:val="left"/>
                    <w:rPr>
                      <w:rFonts w:cs="宋体" w:asciiTheme="minorEastAsia" w:hAnsiTheme="minorEastAsia"/>
                      <w:bCs/>
                      <w:szCs w:val="21"/>
                    </w:rPr>
                  </w:pPr>
                  <w:r>
                    <w:rPr>
                      <w:rFonts w:cs="宋体" w:asciiTheme="minorEastAsia" w:hAnsiTheme="minorEastAsia"/>
                      <w:bCs/>
                      <w:szCs w:val="21"/>
                    </w:rPr>
                    <w:t>通用DCS2005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103"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2</w:t>
                  </w:r>
                </w:p>
              </w:tc>
              <w:tc>
                <w:tcPr>
                  <w:tcW w:w="4733" w:type="dxa"/>
                  <w:shd w:val="clear" w:color="auto" w:fill="auto"/>
                </w:tcPr>
                <w:p>
                  <w:pPr>
                    <w:widowControl/>
                    <w:spacing w:line="360" w:lineRule="auto"/>
                    <w:jc w:val="left"/>
                    <w:rPr>
                      <w:rFonts w:cs="宋体" w:asciiTheme="minorEastAsia" w:hAnsiTheme="minorEastAsia"/>
                      <w:bCs/>
                      <w:szCs w:val="21"/>
                    </w:rPr>
                  </w:pPr>
                  <w:r>
                    <w:rPr>
                      <w:rFonts w:cs="宋体" w:asciiTheme="minorEastAsia" w:hAnsiTheme="minorEastAsia"/>
                      <w:bCs/>
                      <w:szCs w:val="21"/>
                    </w:rPr>
                    <w:t>IA（foxbroo英维斯）；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103"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3</w:t>
                  </w:r>
                </w:p>
              </w:tc>
              <w:tc>
                <w:tcPr>
                  <w:tcW w:w="4733" w:type="dxa"/>
                  <w:shd w:val="clear" w:color="auto" w:fill="auto"/>
                </w:tcPr>
                <w:p>
                  <w:pPr>
                    <w:widowControl/>
                    <w:spacing w:line="360" w:lineRule="auto"/>
                    <w:jc w:val="left"/>
                    <w:rPr>
                      <w:rFonts w:cs="宋体" w:asciiTheme="minorEastAsia" w:hAnsiTheme="minorEastAsia"/>
                      <w:bCs/>
                      <w:szCs w:val="21"/>
                    </w:rPr>
                  </w:pPr>
                  <w:r>
                    <w:rPr>
                      <w:rFonts w:cs="宋体" w:asciiTheme="minorEastAsia" w:hAnsiTheme="minorEastAsia"/>
                      <w:bCs/>
                      <w:szCs w:val="21"/>
                    </w:rPr>
                    <w:t>cs3000（横河）；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103" w:type="dxa"/>
                  <w:shd w:val="clear" w:color="auto" w:fill="auto"/>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4</w:t>
                  </w:r>
                </w:p>
              </w:tc>
              <w:tc>
                <w:tcPr>
                  <w:tcW w:w="4733" w:type="dxa"/>
                  <w:shd w:val="clear" w:color="auto" w:fill="auto"/>
                </w:tcPr>
                <w:p>
                  <w:pPr>
                    <w:widowControl/>
                    <w:spacing w:line="360" w:lineRule="auto"/>
                    <w:jc w:val="left"/>
                    <w:rPr>
                      <w:rFonts w:cs="宋体" w:asciiTheme="minorEastAsia" w:hAnsiTheme="minorEastAsia"/>
                      <w:bCs/>
                      <w:szCs w:val="21"/>
                    </w:rPr>
                  </w:pPr>
                  <w:r>
                    <w:rPr>
                      <w:rFonts w:cs="宋体" w:asciiTheme="minorEastAsia" w:hAnsiTheme="minorEastAsia"/>
                      <w:bCs/>
                      <w:szCs w:val="21"/>
                    </w:rPr>
                    <w:t>TDC3000(honeywell)；</w:t>
                  </w:r>
                </w:p>
              </w:tc>
            </w:tr>
          </w:tbl>
          <w:p>
            <w:pPr>
              <w:widowControl/>
              <w:spacing w:line="360" w:lineRule="auto"/>
              <w:jc w:val="left"/>
              <w:rPr>
                <w:rFonts w:cs="宋体" w:asciiTheme="minorEastAsia" w:hAnsiTheme="minorEastAsia"/>
                <w:bCs/>
                <w:szCs w:val="21"/>
              </w:rPr>
            </w:pPr>
          </w:p>
        </w:tc>
        <w:tc>
          <w:tcPr>
            <w:tcW w:w="851" w:type="dxa"/>
            <w:vMerge w:val="continue"/>
          </w:tcPr>
          <w:p>
            <w:pPr>
              <w:rPr>
                <w:sz w:val="28"/>
                <w:szCs w:val="28"/>
              </w:rPr>
            </w:pPr>
          </w:p>
        </w:tc>
        <w:tc>
          <w:tcPr>
            <w:tcW w:w="850" w:type="dxa"/>
            <w:vMerge w:val="continue"/>
          </w:tcPr>
          <w:p>
            <w:pPr>
              <w:rPr>
                <w:sz w:val="28"/>
                <w:szCs w:val="28"/>
              </w:rPr>
            </w:pPr>
          </w:p>
        </w:tc>
        <w:tc>
          <w:tcPr>
            <w:tcW w:w="851" w:type="dxa"/>
            <w:vMerge w:val="continue"/>
          </w:tcPr>
          <w:p>
            <w:pPr>
              <w:rPr>
                <w:sz w:val="28"/>
                <w:szCs w:val="28"/>
              </w:rPr>
            </w:pPr>
          </w:p>
        </w:tc>
        <w:tc>
          <w:tcPr>
            <w:tcW w:w="1134"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inorEastAsia" w:hAnsiTheme="minorEastAsia"/>
                <w:szCs w:val="21"/>
              </w:rPr>
            </w:pPr>
          </w:p>
        </w:tc>
        <w:tc>
          <w:tcPr>
            <w:tcW w:w="1134" w:type="dxa"/>
            <w:vMerge w:val="continue"/>
          </w:tcPr>
          <w:p>
            <w:pPr>
              <w:rPr>
                <w:rFonts w:asciiTheme="minorEastAsia" w:hAnsiTheme="minorEastAsia"/>
                <w:szCs w:val="21"/>
              </w:rPr>
            </w:pPr>
          </w:p>
        </w:tc>
        <w:tc>
          <w:tcPr>
            <w:tcW w:w="1701" w:type="dxa"/>
            <w:vMerge w:val="continue"/>
          </w:tcPr>
          <w:p>
            <w:pPr>
              <w:widowControl/>
              <w:spacing w:line="360" w:lineRule="auto"/>
              <w:jc w:val="left"/>
              <w:rPr>
                <w:rFonts w:cs="宋体" w:asciiTheme="minorEastAsia" w:hAnsiTheme="minorEastAsia"/>
                <w:bCs/>
                <w:szCs w:val="21"/>
              </w:rPr>
            </w:pPr>
          </w:p>
        </w:tc>
        <w:tc>
          <w:tcPr>
            <w:tcW w:w="7513" w:type="dxa"/>
          </w:tcPr>
          <w:p>
            <w:pPr>
              <w:widowControl/>
              <w:spacing w:line="360" w:lineRule="auto"/>
              <w:jc w:val="left"/>
              <w:rPr>
                <w:rFonts w:cs="宋体" w:asciiTheme="minorEastAsia" w:hAnsiTheme="minorEastAsia"/>
                <w:b/>
                <w:bCs/>
                <w:szCs w:val="21"/>
              </w:rPr>
            </w:pPr>
            <w:r>
              <w:rPr>
                <w:rFonts w:hint="eastAsia" w:cs="宋体" w:asciiTheme="minorEastAsia" w:hAnsiTheme="minorEastAsia"/>
                <w:b/>
                <w:bCs/>
                <w:szCs w:val="21"/>
              </w:rPr>
              <w:t>六、培训系统配件清单：</w:t>
            </w:r>
          </w:p>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模型运行客户端（1套各50站点）、教师站（1套）、智能评分系统（1套）、硬件加密锁（2套）、安装光盘（1套）、仿真操作手册（1套）、互联网运行账号（1套）、化工单元设备素材库（1套）、化工单元网络题库（1套）、化工单元配套网络教学资源库（1套）。</w:t>
            </w:r>
          </w:p>
        </w:tc>
        <w:tc>
          <w:tcPr>
            <w:tcW w:w="851" w:type="dxa"/>
            <w:vMerge w:val="continue"/>
          </w:tcPr>
          <w:p>
            <w:pPr>
              <w:rPr>
                <w:sz w:val="28"/>
                <w:szCs w:val="28"/>
              </w:rPr>
            </w:pPr>
          </w:p>
        </w:tc>
        <w:tc>
          <w:tcPr>
            <w:tcW w:w="850" w:type="dxa"/>
            <w:vMerge w:val="continue"/>
          </w:tcPr>
          <w:p>
            <w:pPr>
              <w:rPr>
                <w:sz w:val="28"/>
                <w:szCs w:val="28"/>
              </w:rPr>
            </w:pPr>
          </w:p>
        </w:tc>
        <w:tc>
          <w:tcPr>
            <w:tcW w:w="851" w:type="dxa"/>
            <w:vMerge w:val="continue"/>
          </w:tcPr>
          <w:p>
            <w:pPr>
              <w:rPr>
                <w:sz w:val="28"/>
                <w:szCs w:val="28"/>
              </w:rPr>
            </w:pPr>
          </w:p>
        </w:tc>
        <w:tc>
          <w:tcPr>
            <w:tcW w:w="1134"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Theme="minorEastAsia" w:hAnsiTheme="minorEastAsia"/>
                <w:szCs w:val="21"/>
              </w:rPr>
            </w:pPr>
          </w:p>
        </w:tc>
        <w:tc>
          <w:tcPr>
            <w:tcW w:w="1134" w:type="dxa"/>
            <w:vMerge w:val="continue"/>
          </w:tcPr>
          <w:p>
            <w:pPr>
              <w:rPr>
                <w:rFonts w:asciiTheme="minorEastAsia" w:hAnsiTheme="minorEastAsia"/>
                <w:szCs w:val="21"/>
              </w:rPr>
            </w:pPr>
          </w:p>
        </w:tc>
        <w:tc>
          <w:tcPr>
            <w:tcW w:w="1701" w:type="dxa"/>
            <w:vMerge w:val="continue"/>
          </w:tcPr>
          <w:p>
            <w:pPr>
              <w:widowControl/>
              <w:spacing w:line="360" w:lineRule="auto"/>
              <w:jc w:val="left"/>
              <w:rPr>
                <w:rFonts w:cs="宋体" w:asciiTheme="minorEastAsia" w:hAnsiTheme="minorEastAsia"/>
                <w:bCs/>
                <w:szCs w:val="21"/>
              </w:rPr>
            </w:pPr>
          </w:p>
        </w:tc>
        <w:tc>
          <w:tcPr>
            <w:tcW w:w="7513" w:type="dxa"/>
          </w:tcPr>
          <w:p>
            <w:pPr>
              <w:widowControl/>
              <w:spacing w:line="360" w:lineRule="auto"/>
              <w:jc w:val="left"/>
              <w:rPr>
                <w:rFonts w:cs="宋体" w:asciiTheme="minorEastAsia" w:hAnsiTheme="minorEastAsia"/>
                <w:bCs/>
                <w:szCs w:val="21"/>
              </w:rPr>
            </w:pPr>
            <w:r>
              <w:rPr>
                <w:rFonts w:hint="eastAsia" w:cs="宋体" w:asciiTheme="minorEastAsia" w:hAnsiTheme="minorEastAsia"/>
                <w:bCs/>
                <w:szCs w:val="21"/>
              </w:rPr>
              <w:t>★1.需提供上述所有项目3D仿真软件截图</w:t>
            </w:r>
          </w:p>
        </w:tc>
        <w:tc>
          <w:tcPr>
            <w:tcW w:w="851" w:type="dxa"/>
            <w:vMerge w:val="continue"/>
          </w:tcPr>
          <w:p>
            <w:pPr>
              <w:rPr>
                <w:sz w:val="28"/>
                <w:szCs w:val="28"/>
              </w:rPr>
            </w:pPr>
          </w:p>
        </w:tc>
        <w:tc>
          <w:tcPr>
            <w:tcW w:w="850" w:type="dxa"/>
            <w:vMerge w:val="continue"/>
          </w:tcPr>
          <w:p>
            <w:pPr>
              <w:rPr>
                <w:sz w:val="28"/>
                <w:szCs w:val="28"/>
              </w:rPr>
            </w:pPr>
          </w:p>
        </w:tc>
        <w:tc>
          <w:tcPr>
            <w:tcW w:w="851" w:type="dxa"/>
            <w:vMerge w:val="continue"/>
          </w:tcPr>
          <w:p>
            <w:pPr>
              <w:rPr>
                <w:sz w:val="28"/>
                <w:szCs w:val="28"/>
              </w:rPr>
            </w:pPr>
          </w:p>
        </w:tc>
        <w:tc>
          <w:tcPr>
            <w:tcW w:w="1134" w:type="dxa"/>
            <w:vMerge w:val="continue"/>
          </w:tcPr>
          <w:p>
            <w:pPr>
              <w:rPr>
                <w:sz w:val="28"/>
                <w:szCs w:val="28"/>
              </w:rPr>
            </w:pPr>
          </w:p>
        </w:tc>
      </w:tr>
    </w:tbl>
    <w:p/>
    <w:p/>
    <w:p/>
    <w:p>
      <w:pPr>
        <w:jc w:val="center"/>
        <w:rPr>
          <w:rFonts w:hint="eastAsia"/>
          <w:sz w:val="44"/>
          <w:szCs w:val="44"/>
        </w:rPr>
      </w:pPr>
    </w:p>
    <w:p>
      <w:pPr>
        <w:jc w:val="center"/>
        <w:rPr>
          <w:sz w:val="44"/>
          <w:szCs w:val="44"/>
        </w:rPr>
      </w:pPr>
    </w:p>
    <w:p>
      <w:bookmarkStart w:id="1" w:name="_GoBack"/>
      <w:bookmarkEnd w:id="1"/>
    </w:p>
    <w:sectPr>
      <w:pgSz w:w="16838" w:h="11906" w:orient="landscape"/>
      <w:pgMar w:top="1247"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42FBF"/>
    <w:multiLevelType w:val="multilevel"/>
    <w:tmpl w:val="7C742F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33"/>
    <w:rsid w:val="00012008"/>
    <w:rsid w:val="000262E6"/>
    <w:rsid w:val="00043EBD"/>
    <w:rsid w:val="00047483"/>
    <w:rsid w:val="00051AA9"/>
    <w:rsid w:val="00053D6A"/>
    <w:rsid w:val="000544BE"/>
    <w:rsid w:val="00060C36"/>
    <w:rsid w:val="00061B83"/>
    <w:rsid w:val="000645D5"/>
    <w:rsid w:val="00067420"/>
    <w:rsid w:val="000827F9"/>
    <w:rsid w:val="000B3447"/>
    <w:rsid w:val="000B63FB"/>
    <w:rsid w:val="000C5F9D"/>
    <w:rsid w:val="000D08EA"/>
    <w:rsid w:val="000D0FF6"/>
    <w:rsid w:val="000F7216"/>
    <w:rsid w:val="00110B70"/>
    <w:rsid w:val="001160A8"/>
    <w:rsid w:val="001204AD"/>
    <w:rsid w:val="0013046A"/>
    <w:rsid w:val="00133E39"/>
    <w:rsid w:val="001440F3"/>
    <w:rsid w:val="00154397"/>
    <w:rsid w:val="001560BA"/>
    <w:rsid w:val="00160ACF"/>
    <w:rsid w:val="00171AB7"/>
    <w:rsid w:val="00174AEF"/>
    <w:rsid w:val="00176663"/>
    <w:rsid w:val="00186DE1"/>
    <w:rsid w:val="00187AD0"/>
    <w:rsid w:val="00190024"/>
    <w:rsid w:val="001946C4"/>
    <w:rsid w:val="001A040A"/>
    <w:rsid w:val="001B6EF9"/>
    <w:rsid w:val="001C4E66"/>
    <w:rsid w:val="001D7051"/>
    <w:rsid w:val="001E7BC9"/>
    <w:rsid w:val="00207654"/>
    <w:rsid w:val="00212B72"/>
    <w:rsid w:val="00220E8A"/>
    <w:rsid w:val="00237C19"/>
    <w:rsid w:val="00237D39"/>
    <w:rsid w:val="00240580"/>
    <w:rsid w:val="00253AB4"/>
    <w:rsid w:val="00254ED7"/>
    <w:rsid w:val="00272229"/>
    <w:rsid w:val="00273E9D"/>
    <w:rsid w:val="00287624"/>
    <w:rsid w:val="002B46E3"/>
    <w:rsid w:val="002B5C7A"/>
    <w:rsid w:val="002B6062"/>
    <w:rsid w:val="002B763D"/>
    <w:rsid w:val="002C2A09"/>
    <w:rsid w:val="002D16B4"/>
    <w:rsid w:val="002D16EA"/>
    <w:rsid w:val="002D33A0"/>
    <w:rsid w:val="002D5632"/>
    <w:rsid w:val="002E0836"/>
    <w:rsid w:val="002F21F2"/>
    <w:rsid w:val="002F2A04"/>
    <w:rsid w:val="002F512D"/>
    <w:rsid w:val="0030614D"/>
    <w:rsid w:val="00313AAA"/>
    <w:rsid w:val="003237AE"/>
    <w:rsid w:val="0032445F"/>
    <w:rsid w:val="00330960"/>
    <w:rsid w:val="003551FD"/>
    <w:rsid w:val="003624DE"/>
    <w:rsid w:val="00366F34"/>
    <w:rsid w:val="00382B6E"/>
    <w:rsid w:val="003905AD"/>
    <w:rsid w:val="00393D02"/>
    <w:rsid w:val="00396C4B"/>
    <w:rsid w:val="003A0FEF"/>
    <w:rsid w:val="003A5677"/>
    <w:rsid w:val="003A6974"/>
    <w:rsid w:val="003C0122"/>
    <w:rsid w:val="003C0A7D"/>
    <w:rsid w:val="003C1B49"/>
    <w:rsid w:val="003C2C64"/>
    <w:rsid w:val="003E2206"/>
    <w:rsid w:val="003E4EDC"/>
    <w:rsid w:val="003E769B"/>
    <w:rsid w:val="003E7D49"/>
    <w:rsid w:val="003F4A3F"/>
    <w:rsid w:val="003F72F1"/>
    <w:rsid w:val="003F77F5"/>
    <w:rsid w:val="00406766"/>
    <w:rsid w:val="0042377F"/>
    <w:rsid w:val="0043261F"/>
    <w:rsid w:val="004449B0"/>
    <w:rsid w:val="0045625D"/>
    <w:rsid w:val="00494F28"/>
    <w:rsid w:val="004A57D9"/>
    <w:rsid w:val="004C1840"/>
    <w:rsid w:val="004D2D4D"/>
    <w:rsid w:val="004D5D94"/>
    <w:rsid w:val="004E38AD"/>
    <w:rsid w:val="004E5A94"/>
    <w:rsid w:val="004F1DD7"/>
    <w:rsid w:val="004F337D"/>
    <w:rsid w:val="004F77C0"/>
    <w:rsid w:val="005248A3"/>
    <w:rsid w:val="00533782"/>
    <w:rsid w:val="0053391C"/>
    <w:rsid w:val="005358F9"/>
    <w:rsid w:val="00536BAD"/>
    <w:rsid w:val="00537E52"/>
    <w:rsid w:val="00537E7E"/>
    <w:rsid w:val="005438E8"/>
    <w:rsid w:val="00554816"/>
    <w:rsid w:val="00567EE5"/>
    <w:rsid w:val="00572A37"/>
    <w:rsid w:val="00586B88"/>
    <w:rsid w:val="0058778C"/>
    <w:rsid w:val="00597975"/>
    <w:rsid w:val="005A43C9"/>
    <w:rsid w:val="005A6BBC"/>
    <w:rsid w:val="005A6F4B"/>
    <w:rsid w:val="005C19B2"/>
    <w:rsid w:val="0060262F"/>
    <w:rsid w:val="00612C3D"/>
    <w:rsid w:val="00650EB7"/>
    <w:rsid w:val="00655A7D"/>
    <w:rsid w:val="00663286"/>
    <w:rsid w:val="00665C2F"/>
    <w:rsid w:val="006671B5"/>
    <w:rsid w:val="00677BF2"/>
    <w:rsid w:val="006955A8"/>
    <w:rsid w:val="00697B62"/>
    <w:rsid w:val="006A6B8A"/>
    <w:rsid w:val="006B2EAF"/>
    <w:rsid w:val="006D27D6"/>
    <w:rsid w:val="00704119"/>
    <w:rsid w:val="0070452E"/>
    <w:rsid w:val="007244F4"/>
    <w:rsid w:val="007268C1"/>
    <w:rsid w:val="007376D5"/>
    <w:rsid w:val="0074133F"/>
    <w:rsid w:val="00745B29"/>
    <w:rsid w:val="007461BC"/>
    <w:rsid w:val="00747769"/>
    <w:rsid w:val="007607A1"/>
    <w:rsid w:val="007668C2"/>
    <w:rsid w:val="00770766"/>
    <w:rsid w:val="00791E8D"/>
    <w:rsid w:val="00792DE2"/>
    <w:rsid w:val="007959A1"/>
    <w:rsid w:val="007B79B7"/>
    <w:rsid w:val="007C199C"/>
    <w:rsid w:val="007E0E8B"/>
    <w:rsid w:val="007E6363"/>
    <w:rsid w:val="007F318D"/>
    <w:rsid w:val="007F7032"/>
    <w:rsid w:val="00801DE0"/>
    <w:rsid w:val="00802016"/>
    <w:rsid w:val="00821512"/>
    <w:rsid w:val="00836354"/>
    <w:rsid w:val="00837B9C"/>
    <w:rsid w:val="00847EC2"/>
    <w:rsid w:val="00860401"/>
    <w:rsid w:val="008800E7"/>
    <w:rsid w:val="0089527B"/>
    <w:rsid w:val="008A121C"/>
    <w:rsid w:val="008C5C6B"/>
    <w:rsid w:val="008C639F"/>
    <w:rsid w:val="008D3601"/>
    <w:rsid w:val="008E1847"/>
    <w:rsid w:val="00904740"/>
    <w:rsid w:val="00904B8E"/>
    <w:rsid w:val="00924828"/>
    <w:rsid w:val="00932AD2"/>
    <w:rsid w:val="009834A0"/>
    <w:rsid w:val="00986D74"/>
    <w:rsid w:val="00986E33"/>
    <w:rsid w:val="0099558B"/>
    <w:rsid w:val="009A258C"/>
    <w:rsid w:val="009B1583"/>
    <w:rsid w:val="009B275A"/>
    <w:rsid w:val="009C4F05"/>
    <w:rsid w:val="009D0B70"/>
    <w:rsid w:val="009F5366"/>
    <w:rsid w:val="009F667B"/>
    <w:rsid w:val="00A02D63"/>
    <w:rsid w:val="00A34CA6"/>
    <w:rsid w:val="00A45875"/>
    <w:rsid w:val="00A5792F"/>
    <w:rsid w:val="00A61810"/>
    <w:rsid w:val="00A6633B"/>
    <w:rsid w:val="00A66820"/>
    <w:rsid w:val="00A877DD"/>
    <w:rsid w:val="00A923D9"/>
    <w:rsid w:val="00AB3AA5"/>
    <w:rsid w:val="00AB3C7C"/>
    <w:rsid w:val="00AB5B11"/>
    <w:rsid w:val="00AE70B1"/>
    <w:rsid w:val="00AE78CF"/>
    <w:rsid w:val="00AF6820"/>
    <w:rsid w:val="00B02156"/>
    <w:rsid w:val="00B049A7"/>
    <w:rsid w:val="00B0633D"/>
    <w:rsid w:val="00B13480"/>
    <w:rsid w:val="00B16A33"/>
    <w:rsid w:val="00B27FFE"/>
    <w:rsid w:val="00B301F5"/>
    <w:rsid w:val="00B60A5D"/>
    <w:rsid w:val="00B645F7"/>
    <w:rsid w:val="00B7115D"/>
    <w:rsid w:val="00B921A1"/>
    <w:rsid w:val="00BA4404"/>
    <w:rsid w:val="00BB5D39"/>
    <w:rsid w:val="00BC47B8"/>
    <w:rsid w:val="00BC6D7D"/>
    <w:rsid w:val="00BC6EDD"/>
    <w:rsid w:val="00BD68F3"/>
    <w:rsid w:val="00BE535B"/>
    <w:rsid w:val="00BE6869"/>
    <w:rsid w:val="00C02C8C"/>
    <w:rsid w:val="00C05DD9"/>
    <w:rsid w:val="00C233CA"/>
    <w:rsid w:val="00C250D6"/>
    <w:rsid w:val="00C26661"/>
    <w:rsid w:val="00C32D39"/>
    <w:rsid w:val="00C33E47"/>
    <w:rsid w:val="00C3582E"/>
    <w:rsid w:val="00C40F01"/>
    <w:rsid w:val="00C40FB4"/>
    <w:rsid w:val="00C42C65"/>
    <w:rsid w:val="00C52DC5"/>
    <w:rsid w:val="00C63BE1"/>
    <w:rsid w:val="00C66537"/>
    <w:rsid w:val="00C7374A"/>
    <w:rsid w:val="00CA6F48"/>
    <w:rsid w:val="00CE583B"/>
    <w:rsid w:val="00D00152"/>
    <w:rsid w:val="00D216A3"/>
    <w:rsid w:val="00D23A5D"/>
    <w:rsid w:val="00D27377"/>
    <w:rsid w:val="00D546C8"/>
    <w:rsid w:val="00D81798"/>
    <w:rsid w:val="00D9188C"/>
    <w:rsid w:val="00D92852"/>
    <w:rsid w:val="00DA1186"/>
    <w:rsid w:val="00DA67FE"/>
    <w:rsid w:val="00DB1749"/>
    <w:rsid w:val="00DC06ED"/>
    <w:rsid w:val="00DD36FC"/>
    <w:rsid w:val="00DE378D"/>
    <w:rsid w:val="00DE53B6"/>
    <w:rsid w:val="00E0377B"/>
    <w:rsid w:val="00E041AA"/>
    <w:rsid w:val="00E16F38"/>
    <w:rsid w:val="00E44FB7"/>
    <w:rsid w:val="00E54E8B"/>
    <w:rsid w:val="00E60382"/>
    <w:rsid w:val="00E61325"/>
    <w:rsid w:val="00EA1B34"/>
    <w:rsid w:val="00EA345E"/>
    <w:rsid w:val="00EC294A"/>
    <w:rsid w:val="00EC729B"/>
    <w:rsid w:val="00ED2268"/>
    <w:rsid w:val="00ED58B5"/>
    <w:rsid w:val="00EE01B6"/>
    <w:rsid w:val="00EF56DE"/>
    <w:rsid w:val="00F04503"/>
    <w:rsid w:val="00F278E1"/>
    <w:rsid w:val="00F91875"/>
    <w:rsid w:val="00F9294B"/>
    <w:rsid w:val="00FD3B08"/>
    <w:rsid w:val="1F4B0A9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List Paragraph"/>
    <w:basedOn w:val="1"/>
    <w:unhideWhenUsed/>
    <w:uiPriority w:val="99"/>
    <w:pPr>
      <w:ind w:firstLine="420" w:firstLineChars="200"/>
    </w:pPr>
    <w:rPr>
      <w:szCs w:val="24"/>
    </w:rPr>
  </w:style>
  <w:style w:type="paragraph" w:customStyle="1" w:styleId="6">
    <w:name w:val="_Style 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534</Words>
  <Characters>3048</Characters>
  <Lines>25</Lines>
  <Paragraphs>7</Paragraphs>
  <TotalTime>0</TotalTime>
  <ScaleCrop>false</ScaleCrop>
  <LinksUpToDate>false</LinksUpToDate>
  <CharactersWithSpaces>3575</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2017-03-29T03:13:00Z</dcterms:created>
  <dc:creator>ZY</dc:creator>
  <cp:lastModifiedBy>Administrator</cp:lastModifiedBy>
  <dcterms:modified xsi:type="dcterms:W3CDTF">2017-03-31T03:20:54Z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